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EA8CB" w14:textId="77777777" w:rsidR="005641CB" w:rsidRPr="00654874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outlineLvl w:val="5"/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</w:pPr>
      <w:r w:rsidRPr="00654874"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  <w:t>Policy Item D</w:t>
      </w:r>
      <w:r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  <w:t>4</w:t>
      </w:r>
      <w:r w:rsidRPr="00654874"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  <w:t>-</w:t>
      </w:r>
      <w:r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  <w:t>23</w:t>
      </w:r>
      <w:r w:rsidRPr="00654874"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  <w:t>-2</w:t>
      </w:r>
      <w:r w:rsidRPr="00654874"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  <w:br/>
        <w:t xml:space="preserve">RE: </w:t>
      </w:r>
      <w:bookmarkStart w:id="0" w:name="_GoBack"/>
      <w:r w:rsidRPr="00654874">
        <w:rPr>
          <w:rFonts w:ascii="Verdana" w:eastAsia="Times New Roman" w:hAnsi="Verdana" w:cs="Times New Roman"/>
          <w:b/>
          <w:bCs/>
          <w:iCs/>
          <w:sz w:val="19"/>
          <w:szCs w:val="19"/>
          <w:lang w:eastAsia="en-CA"/>
        </w:rPr>
        <w:t>Supervisor Duties - Workplace Bullying and Harassment</w:t>
      </w:r>
      <w:bookmarkEnd w:id="0"/>
    </w:p>
    <w:p w14:paraId="102E2C05" w14:textId="77777777" w:rsidR="005641CB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>BACKGROUND</w:t>
      </w:r>
    </w:p>
    <w:p w14:paraId="565B7F1A" w14:textId="77777777" w:rsidR="005641CB" w:rsidRPr="000D38D0" w:rsidRDefault="005641CB" w:rsidP="005641CB">
      <w:pPr>
        <w:shd w:val="clear" w:color="auto" w:fill="FFFFFF"/>
        <w:tabs>
          <w:tab w:val="left" w:pos="360"/>
          <w:tab w:val="left" w:pos="900"/>
        </w:tabs>
        <w:spacing w:after="120" w:line="240" w:lineRule="auto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>1.</w:t>
      </w:r>
      <w:r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>Preamble</w:t>
      </w:r>
    </w:p>
    <w:p w14:paraId="0F27E6A2" w14:textId="77777777" w:rsidR="005641CB" w:rsidRPr="000D38D0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ind w:left="360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A supervisor has a duty to take all reasonable steps to ensure the health and safety of workers under their supervision, and as a result, a supervisor must take all reasonable steps to prevent where possible, or otherwise minimize, workplace bullying and harassment. Workplace bullying and harassment can lead to injury, illness or death.</w:t>
      </w:r>
    </w:p>
    <w:p w14:paraId="08C794B2" w14:textId="77777777" w:rsidR="005641CB" w:rsidRPr="000D38D0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ind w:left="360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 xml:space="preserve">This Policy provides a consistent legal framework for stakeholders, </w:t>
      </w:r>
      <w:proofErr w:type="spellStart"/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WorkSafeBC</w:t>
      </w:r>
      <w:proofErr w:type="spellEnd"/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 xml:space="preserve"> Officers and decision-makers identifying what </w:t>
      </w:r>
      <w:proofErr w:type="spellStart"/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WorkSafeBC</w:t>
      </w:r>
      <w:proofErr w:type="spellEnd"/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 xml:space="preserve"> considers to be reasonable steps for a supervisor to prevent where possible, or otherwise minimize, workplace bullying and harassment.</w:t>
      </w:r>
    </w:p>
    <w:p w14:paraId="6BA01AD9" w14:textId="77777777" w:rsidR="005641CB" w:rsidRPr="000D38D0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>2.</w:t>
      </w:r>
      <w:r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>Explanatory Notes</w:t>
      </w:r>
    </w:p>
    <w:p w14:paraId="7832DAC9" w14:textId="77777777" w:rsidR="005641CB" w:rsidRPr="000D38D0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ind w:left="360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C800EE">
        <w:rPr>
          <w:rFonts w:ascii="Verdana" w:eastAsia="Times New Roman" w:hAnsi="Verdana" w:cs="Times New Roman"/>
          <w:sz w:val="19"/>
          <w:szCs w:val="19"/>
          <w:lang w:eastAsia="en-CA"/>
        </w:rPr>
        <w:t>Section 23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 xml:space="preserve"> of the </w:t>
      </w:r>
      <w:r w:rsidRPr="000D38D0">
        <w:rPr>
          <w:rFonts w:ascii="Verdana" w:eastAsia="Times New Roman" w:hAnsi="Verdana" w:cs="Times New Roman"/>
          <w:i/>
          <w:iCs/>
          <w:sz w:val="19"/>
          <w:szCs w:val="19"/>
          <w:lang w:eastAsia="en-CA"/>
        </w:rPr>
        <w:t>Workers Compensation Act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 ("</w:t>
      </w:r>
      <w:r w:rsidRPr="000D38D0">
        <w:rPr>
          <w:rFonts w:ascii="Verdana" w:eastAsia="Times New Roman" w:hAnsi="Verdana" w:cs="Times New Roman"/>
          <w:i/>
          <w:iCs/>
          <w:sz w:val="19"/>
          <w:szCs w:val="19"/>
          <w:lang w:eastAsia="en-CA"/>
        </w:rPr>
        <w:t>Act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") requires supervisors to take all reasonable steps to ensure the health and safety of workers under their supervision.</w:t>
      </w:r>
    </w:p>
    <w:p w14:paraId="520036D9" w14:textId="77777777" w:rsidR="005641CB" w:rsidRPr="000D38D0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ind w:left="360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This policy (D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>4-23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-2), which flows from the above section in the </w:t>
      </w:r>
      <w:r w:rsidRPr="000D38D0">
        <w:rPr>
          <w:rFonts w:ascii="Verdana" w:eastAsia="Times New Roman" w:hAnsi="Verdana" w:cs="Times New Roman"/>
          <w:i/>
          <w:iCs/>
          <w:sz w:val="19"/>
          <w:szCs w:val="19"/>
          <w:lang w:eastAsia="en-CA"/>
        </w:rPr>
        <w:t>Act</w:t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, discusses supervisor duties regarding bullying and harassment.</w:t>
      </w:r>
    </w:p>
    <w:p w14:paraId="6D44F6F9" w14:textId="77777777" w:rsidR="005641CB" w:rsidRPr="000D38D0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ind w:left="360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There are two other related policies that address workplace bullying and harassment: </w:t>
      </w:r>
      <w:hyperlink r:id="rId4" w:anchor="SectionNumber:D3-115-2" w:history="1">
        <w:r w:rsidRPr="000D38D0">
          <w:rPr>
            <w:rStyle w:val="Hyperlink"/>
            <w:sz w:val="19"/>
            <w:szCs w:val="19"/>
          </w:rPr>
          <w:t>Policy D</w:t>
        </w:r>
        <w:r>
          <w:rPr>
            <w:rStyle w:val="Hyperlink"/>
            <w:sz w:val="19"/>
            <w:szCs w:val="19"/>
          </w:rPr>
          <w:t>4</w:t>
        </w:r>
        <w:r w:rsidRPr="000D38D0">
          <w:rPr>
            <w:rStyle w:val="Hyperlink"/>
            <w:sz w:val="19"/>
            <w:szCs w:val="19"/>
          </w:rPr>
          <w:t>-</w:t>
        </w:r>
        <w:r>
          <w:rPr>
            <w:rStyle w:val="Hyperlink"/>
            <w:sz w:val="19"/>
            <w:szCs w:val="19"/>
          </w:rPr>
          <w:t>21</w:t>
        </w:r>
        <w:r w:rsidRPr="000D38D0">
          <w:rPr>
            <w:rStyle w:val="Hyperlink"/>
            <w:sz w:val="19"/>
            <w:szCs w:val="19"/>
          </w:rPr>
          <w:t>-2, Employer duties</w:t>
        </w:r>
      </w:hyperlink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, and </w:t>
      </w:r>
      <w:hyperlink r:id="rId5" w:anchor="SectionNumber:D3-116-1" w:history="1">
        <w:r w:rsidRPr="000D38D0">
          <w:rPr>
            <w:rStyle w:val="Hyperlink"/>
            <w:sz w:val="19"/>
            <w:szCs w:val="19"/>
          </w:rPr>
          <w:t>Policy D</w:t>
        </w:r>
        <w:r>
          <w:rPr>
            <w:rStyle w:val="Hyperlink"/>
            <w:sz w:val="19"/>
            <w:szCs w:val="19"/>
          </w:rPr>
          <w:t>4</w:t>
        </w:r>
        <w:r w:rsidRPr="000D38D0">
          <w:rPr>
            <w:rStyle w:val="Hyperlink"/>
            <w:sz w:val="19"/>
            <w:szCs w:val="19"/>
          </w:rPr>
          <w:t>-</w:t>
        </w:r>
        <w:r>
          <w:rPr>
            <w:rStyle w:val="Hyperlink"/>
            <w:sz w:val="19"/>
            <w:szCs w:val="19"/>
          </w:rPr>
          <w:t>22</w:t>
        </w:r>
        <w:r w:rsidRPr="000D38D0">
          <w:rPr>
            <w:rStyle w:val="Hyperlink"/>
            <w:sz w:val="19"/>
            <w:szCs w:val="19"/>
          </w:rPr>
          <w:t>-1, Worker duties</w:t>
        </w:r>
      </w:hyperlink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.</w:t>
      </w:r>
    </w:p>
    <w:p w14:paraId="09C3ADFD" w14:textId="77777777" w:rsidR="005641CB" w:rsidRPr="000D38D0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>3.</w:t>
      </w:r>
      <w:r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b/>
          <w:bCs/>
          <w:sz w:val="19"/>
          <w:szCs w:val="19"/>
          <w:lang w:eastAsia="en-CA"/>
        </w:rPr>
        <w:t>The </w:t>
      </w:r>
      <w:r w:rsidRPr="000D38D0">
        <w:rPr>
          <w:rFonts w:ascii="Verdana" w:eastAsia="Times New Roman" w:hAnsi="Verdana" w:cs="Times New Roman"/>
          <w:b/>
          <w:bCs/>
          <w:i/>
          <w:iCs/>
          <w:sz w:val="19"/>
          <w:szCs w:val="19"/>
          <w:lang w:eastAsia="en-CA"/>
        </w:rPr>
        <w:t>Act</w:t>
      </w:r>
    </w:p>
    <w:p w14:paraId="32F67C62" w14:textId="77777777" w:rsidR="005641CB" w:rsidRPr="000D38D0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C800EE">
        <w:rPr>
          <w:rFonts w:ascii="Verdana" w:eastAsia="Times New Roman" w:hAnsi="Verdana" w:cs="Times New Roman"/>
          <w:sz w:val="19"/>
          <w:szCs w:val="19"/>
          <w:lang w:eastAsia="en-CA"/>
        </w:rPr>
        <w:t xml:space="preserve">Section 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>23</w:t>
      </w:r>
    </w:p>
    <w:p w14:paraId="350E7B4B" w14:textId="77777777" w:rsidR="005641CB" w:rsidRPr="000D38D0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sz w:val="19"/>
          <w:szCs w:val="19"/>
          <w:lang w:eastAsia="en-CA"/>
        </w:rPr>
        <w:t>(1)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Every supervisor must</w:t>
      </w:r>
    </w:p>
    <w:p w14:paraId="079CAEDC" w14:textId="77777777" w:rsidR="005641CB" w:rsidRPr="000D38D0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ind w:left="900" w:hanging="360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sz w:val="19"/>
          <w:szCs w:val="19"/>
          <w:lang w:eastAsia="en-CA"/>
        </w:rPr>
        <w:t>(a)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ensure the health and safety of all workers under the direct supervision of the supervisor….</w:t>
      </w:r>
    </w:p>
    <w:p w14:paraId="20ECF3C2" w14:textId="77777777" w:rsidR="005641CB" w:rsidRPr="000D38D0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rPr>
          <w:rFonts w:ascii="Verdana" w:eastAsia="Times New Roman" w:hAnsi="Verdana" w:cs="Times New Roman"/>
          <w:sz w:val="19"/>
          <w:szCs w:val="19"/>
          <w:lang w:eastAsia="en-CA"/>
        </w:rPr>
      </w:pP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A supervisor's obligation to ensure health and safety of workers includes:</w:t>
      </w:r>
    </w:p>
    <w:p w14:paraId="3D50180B" w14:textId="77777777" w:rsidR="005641CB" w:rsidRPr="000D38D0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ind w:left="900" w:hanging="360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sz w:val="19"/>
          <w:szCs w:val="19"/>
          <w:lang w:eastAsia="en-CA"/>
        </w:rPr>
        <w:t>(a)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not engaging in bullying and harassment of workers, other supervisors, the employer or persons acting on behalf of the employer; and</w:t>
      </w:r>
    </w:p>
    <w:p w14:paraId="44B72B2C" w14:textId="77777777" w:rsidR="005641CB" w:rsidRPr="000D38D0" w:rsidRDefault="005641CB" w:rsidP="005641CB">
      <w:pPr>
        <w:shd w:val="clear" w:color="auto" w:fill="FFFFFF"/>
        <w:tabs>
          <w:tab w:val="left" w:pos="540"/>
          <w:tab w:val="left" w:pos="900"/>
        </w:tabs>
        <w:spacing w:after="120" w:line="240" w:lineRule="auto"/>
        <w:ind w:left="900" w:hanging="360"/>
        <w:rPr>
          <w:rFonts w:ascii="Verdana" w:eastAsia="Times New Roman" w:hAnsi="Verdana" w:cs="Times New Roman"/>
          <w:sz w:val="19"/>
          <w:szCs w:val="19"/>
          <w:lang w:eastAsia="en-CA"/>
        </w:rPr>
      </w:pPr>
      <w:r>
        <w:rPr>
          <w:rFonts w:ascii="Verdana" w:eastAsia="Times New Roman" w:hAnsi="Verdana" w:cs="Times New Roman"/>
          <w:sz w:val="19"/>
          <w:szCs w:val="19"/>
          <w:lang w:eastAsia="en-CA"/>
        </w:rPr>
        <w:t>(b)</w:t>
      </w:r>
      <w:r>
        <w:rPr>
          <w:rFonts w:ascii="Verdana" w:eastAsia="Times New Roman" w:hAnsi="Verdana" w:cs="Times New Roman"/>
          <w:sz w:val="19"/>
          <w:szCs w:val="19"/>
          <w:lang w:eastAsia="en-CA"/>
        </w:rPr>
        <w:tab/>
      </w:r>
      <w:r w:rsidRPr="000D38D0">
        <w:rPr>
          <w:rFonts w:ascii="Verdana" w:eastAsia="Times New Roman" w:hAnsi="Verdana" w:cs="Times New Roman"/>
          <w:sz w:val="19"/>
          <w:szCs w:val="19"/>
          <w:lang w:eastAsia="en-CA"/>
        </w:rPr>
        <w:t>applying and complying with the employer's policies and procedures on bullying and harassment.</w:t>
      </w:r>
    </w:p>
    <w:p w14:paraId="42001445" w14:textId="77777777" w:rsidR="005641CB" w:rsidRDefault="005641CB" w:rsidP="005641CB">
      <w:pPr>
        <w:rPr>
          <w:rFonts w:eastAsia="Times New Roman" w:cstheme="minorHAnsi"/>
          <w:color w:val="000000"/>
          <w:sz w:val="18"/>
          <w:szCs w:val="18"/>
        </w:rPr>
      </w:pPr>
    </w:p>
    <w:p w14:paraId="4026D7BF" w14:textId="18167A61" w:rsidR="003B3FEC" w:rsidRDefault="005641CB"/>
    <w:p w14:paraId="31619083" w14:textId="06F1D10D" w:rsidR="005641CB" w:rsidRDefault="005641CB"/>
    <w:p w14:paraId="05EDA2F0" w14:textId="0890820B" w:rsidR="005641CB" w:rsidRDefault="005641CB"/>
    <w:p w14:paraId="2AD9A3F5" w14:textId="7A73BE2D" w:rsidR="005641CB" w:rsidRDefault="005641CB"/>
    <w:p w14:paraId="4553ABD3" w14:textId="35F391A6" w:rsidR="005641CB" w:rsidRDefault="005641CB"/>
    <w:p w14:paraId="5C275888" w14:textId="6C7C4154" w:rsidR="005641CB" w:rsidRDefault="005641CB"/>
    <w:p w14:paraId="75E3313E" w14:textId="27E50FEF" w:rsidR="005641CB" w:rsidRDefault="005641CB"/>
    <w:p w14:paraId="01612D4E" w14:textId="2F617D3C" w:rsidR="005641CB" w:rsidRPr="005641CB" w:rsidRDefault="005641CB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6A6667BD" wp14:editId="449CA094">
            <wp:extent cx="4191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kie</w:t>
      </w:r>
      <w:proofErr w:type="spellEnd"/>
    </w:p>
    <w:sectPr w:rsidR="005641CB" w:rsidRPr="00564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CB"/>
    <w:rsid w:val="005641CB"/>
    <w:rsid w:val="005C1F11"/>
    <w:rsid w:val="009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8E4D"/>
  <w15:chartTrackingRefBased/>
  <w15:docId w15:val="{E322B152-8E78-4670-A639-37583E8C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C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5641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worksafebc.com/en/law-policy/occupational-health-safety/searchable-ohs-regulation/ohs-policies/policies-for-the-workers-compensation-act" TargetMode="External"/><Relationship Id="rId4" Type="http://schemas.openxmlformats.org/officeDocument/2006/relationships/hyperlink" Target="https://www.worksafebc.com/en/law-policy/occupational-health-safety/searchable-ohs-regulation/ohs-policies/policies-for-the-workers-compensation-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Ericson</dc:creator>
  <cp:keywords/>
  <dc:description/>
  <cp:lastModifiedBy>Ingrid Ericson</cp:lastModifiedBy>
  <cp:revision>1</cp:revision>
  <dcterms:created xsi:type="dcterms:W3CDTF">2020-03-13T18:15:00Z</dcterms:created>
  <dcterms:modified xsi:type="dcterms:W3CDTF">2020-03-13T18:16:00Z</dcterms:modified>
</cp:coreProperties>
</file>